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C5" w:rsidRDefault="004874C5" w:rsidP="004874C5">
      <w:pPr>
        <w:pStyle w:val="2"/>
        <w:spacing w:before="0"/>
        <w:jc w:val="center"/>
        <w:rPr>
          <w:rFonts w:ascii="Trebuchet MS" w:hAnsi="Trebuchet MS"/>
          <w:b w:val="0"/>
          <w:bCs w:val="0"/>
          <w:color w:val="6C3C04"/>
          <w:sz w:val="35"/>
          <w:szCs w:val="35"/>
        </w:rPr>
      </w:pPr>
      <w:r>
        <w:rPr>
          <w:rFonts w:ascii="Trebuchet MS" w:hAnsi="Trebuchet MS"/>
          <w:b w:val="0"/>
          <w:bCs w:val="0"/>
          <w:color w:val="6C3C04"/>
          <w:sz w:val="35"/>
          <w:szCs w:val="35"/>
        </w:rPr>
        <w:t>Информация для населения</w:t>
      </w:r>
    </w:p>
    <w:p w:rsidR="004874C5" w:rsidRDefault="00265D77" w:rsidP="004874C5">
      <w:pPr>
        <w:pStyle w:val="2"/>
        <w:spacing w:before="0"/>
        <w:jc w:val="center"/>
        <w:rPr>
          <w:rFonts w:ascii="Trebuchet MS" w:hAnsi="Trebuchet MS"/>
          <w:b w:val="0"/>
          <w:bCs w:val="0"/>
          <w:color w:val="6C3C04"/>
          <w:sz w:val="35"/>
          <w:szCs w:val="35"/>
        </w:rPr>
      </w:pPr>
      <w:hyperlink r:id="rId5" w:history="1">
        <w:r w:rsidR="004874C5">
          <w:rPr>
            <w:rStyle w:val="a4"/>
            <w:rFonts w:ascii="Trebuchet MS" w:hAnsi="Trebuchet MS"/>
            <w:b w:val="0"/>
            <w:bCs w:val="0"/>
            <w:smallCaps/>
            <w:color w:val="DE9445"/>
            <w:sz w:val="35"/>
            <w:szCs w:val="35"/>
          </w:rPr>
          <w:t>Месячник гражданской обороны</w:t>
        </w:r>
      </w:hyperlink>
    </w:p>
    <w:p w:rsidR="004874C5" w:rsidRDefault="004874C5" w:rsidP="004874C5">
      <w:pPr>
        <w:pStyle w:val="a3"/>
        <w:spacing w:before="150" w:beforeAutospacing="0" w:after="150" w:afterAutospacing="0"/>
        <w:jc w:val="both"/>
        <w:rPr>
          <w:rFonts w:ascii="Verdana" w:hAnsi="Verdana"/>
        </w:rPr>
      </w:pPr>
    </w:p>
    <w:p w:rsidR="004874C5" w:rsidRPr="004874C5" w:rsidRDefault="004874C5" w:rsidP="004874C5">
      <w:pPr>
        <w:pStyle w:val="a5"/>
        <w:jc w:val="center"/>
        <w:rPr>
          <w:color w:val="806000" w:themeColor="accent4" w:themeShade="80"/>
          <w:sz w:val="32"/>
          <w:szCs w:val="32"/>
        </w:rPr>
      </w:pPr>
      <w:r w:rsidRPr="004874C5">
        <w:rPr>
          <w:color w:val="806000" w:themeColor="accent4" w:themeShade="80"/>
          <w:sz w:val="32"/>
          <w:szCs w:val="32"/>
        </w:rPr>
        <w:t>С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1 </w:t>
      </w:r>
      <w:r w:rsidRPr="004874C5">
        <w:rPr>
          <w:color w:val="806000" w:themeColor="accent4" w:themeShade="80"/>
          <w:sz w:val="32"/>
          <w:szCs w:val="32"/>
        </w:rPr>
        <w:t>октября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по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1 </w:t>
      </w:r>
      <w:r w:rsidRPr="004874C5">
        <w:rPr>
          <w:color w:val="806000" w:themeColor="accent4" w:themeShade="80"/>
          <w:sz w:val="32"/>
          <w:szCs w:val="32"/>
        </w:rPr>
        <w:t>ноября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2019 </w:t>
      </w:r>
      <w:r w:rsidRPr="004874C5">
        <w:rPr>
          <w:color w:val="806000" w:themeColor="accent4" w:themeShade="80"/>
          <w:sz w:val="32"/>
          <w:szCs w:val="32"/>
        </w:rPr>
        <w:t>года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на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территории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Михайловского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муниципального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района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проходит</w:t>
      </w:r>
    </w:p>
    <w:p w:rsidR="004874C5" w:rsidRPr="004874C5" w:rsidRDefault="004874C5" w:rsidP="004874C5">
      <w:pPr>
        <w:pStyle w:val="a5"/>
        <w:jc w:val="center"/>
        <w:rPr>
          <w:color w:val="806000" w:themeColor="accent4" w:themeShade="80"/>
          <w:sz w:val="32"/>
          <w:szCs w:val="32"/>
        </w:rPr>
      </w:pPr>
      <w:r w:rsidRPr="004874C5">
        <w:rPr>
          <w:color w:val="806000" w:themeColor="accent4" w:themeShade="80"/>
          <w:sz w:val="32"/>
          <w:szCs w:val="32"/>
        </w:rPr>
        <w:t>месячник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гражданской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 xml:space="preserve"> </w:t>
      </w:r>
      <w:r w:rsidRPr="004874C5">
        <w:rPr>
          <w:color w:val="806000" w:themeColor="accent4" w:themeShade="80"/>
          <w:sz w:val="32"/>
          <w:szCs w:val="32"/>
        </w:rPr>
        <w:t>обороны</w:t>
      </w:r>
      <w:r w:rsidRPr="004874C5">
        <w:rPr>
          <w:rFonts w:ascii="Lucida Handwriting" w:hAnsi="Lucida Handwriting"/>
          <w:color w:val="806000" w:themeColor="accent4" w:themeShade="80"/>
          <w:sz w:val="32"/>
          <w:szCs w:val="32"/>
        </w:rPr>
        <w:t>.</w:t>
      </w:r>
    </w:p>
    <w:p w:rsidR="004874C5" w:rsidRPr="004874C5" w:rsidRDefault="004874C5" w:rsidP="004874C5">
      <w:pPr>
        <w:pStyle w:val="a5"/>
        <w:jc w:val="center"/>
        <w:rPr>
          <w:sz w:val="32"/>
          <w:szCs w:val="32"/>
        </w:rPr>
      </w:pPr>
    </w:p>
    <w:p w:rsidR="004874C5" w:rsidRPr="004874C5" w:rsidRDefault="004874C5" w:rsidP="004874C5">
      <w:pPr>
        <w:pStyle w:val="a5"/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В рамках «Месячника гражданской обороны»</w:t>
      </w:r>
    </w:p>
    <w:p w:rsidR="004874C5" w:rsidRPr="004874C5" w:rsidRDefault="004874C5" w:rsidP="004874C5">
      <w:pPr>
        <w:pStyle w:val="a5"/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запланирован</w:t>
      </w:r>
      <w:r w:rsidR="00265D77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ы</w:t>
      </w:r>
      <w:r w:rsidRPr="004874C5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 xml:space="preserve"> </w:t>
      </w:r>
      <w:r w:rsidR="00265D77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 xml:space="preserve">следующие </w:t>
      </w:r>
      <w:r w:rsidRPr="004874C5">
        <w:rPr>
          <w:rFonts w:ascii="Times New Roman" w:hAnsi="Times New Roman" w:cs="Times New Roman"/>
          <w:color w:val="2E74B5" w:themeColor="accent1" w:themeShade="BF"/>
          <w:sz w:val="36"/>
          <w:szCs w:val="36"/>
        </w:rPr>
        <w:t>мероприятий:</w:t>
      </w:r>
    </w:p>
    <w:p w:rsidR="004874C5" w:rsidRPr="004874C5" w:rsidRDefault="004874C5" w:rsidP="004874C5">
      <w:pPr>
        <w:pStyle w:val="a5"/>
        <w:jc w:val="center"/>
        <w:rPr>
          <w:rFonts w:ascii="Times New Roman" w:hAnsi="Times New Roman" w:cs="Times New Roman"/>
          <w:color w:val="2E74B5" w:themeColor="accent1" w:themeShade="BF"/>
          <w:sz w:val="36"/>
          <w:szCs w:val="36"/>
        </w:rPr>
      </w:pPr>
    </w:p>
    <w:p w:rsidR="004874C5" w:rsidRPr="004874C5" w:rsidRDefault="004874C5" w:rsidP="004874C5">
      <w:pPr>
        <w:pStyle w:val="a5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проведение Всероссийской штабной тренировки по гражданской обороне в период с 1 по 2 октября 2019 года. Целью данной тренировки является отработка вопросов организации управления при выполнении мероприятий по гражданской обороне, предупреждению и ликвидации чрезвычайных ситуаций. Проверка готовности органов управления и сил гражданской обор</w:t>
      </w:r>
      <w:bookmarkStart w:id="0" w:name="_GoBack"/>
      <w:bookmarkEnd w:id="0"/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оны всех уровней к практическим действиям по ликвидации чрезвычайных ситуаций природного и техногенного характера, а также выполнению мероприятий гражданской обороны;</w:t>
      </w:r>
    </w:p>
    <w:p w:rsidR="004874C5" w:rsidRPr="004874C5" w:rsidRDefault="004874C5" w:rsidP="004874C5">
      <w:pPr>
        <w:pStyle w:val="a5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проведение Всероссийского открытого урока по «Основам безопасности жизнедеятельности» в образовательных учреждениях;</w:t>
      </w:r>
    </w:p>
    <w:p w:rsidR="004874C5" w:rsidRPr="004874C5" w:rsidRDefault="004874C5" w:rsidP="004874C5">
      <w:pPr>
        <w:pStyle w:val="a5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распространение памяток по вопросам ГО и ЧС среди населения, а также предприятий, организаций, учреждений;</w:t>
      </w:r>
    </w:p>
    <w:p w:rsidR="004874C5" w:rsidRPr="004874C5" w:rsidRDefault="004874C5" w:rsidP="004874C5">
      <w:pPr>
        <w:pStyle w:val="a5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- проверка средств оповещения (</w:t>
      </w:r>
      <w:proofErr w:type="spellStart"/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электросирен</w:t>
      </w:r>
      <w:proofErr w:type="spellEnd"/>
      <w:r w:rsidRPr="004874C5">
        <w:rPr>
          <w:rFonts w:ascii="Times New Roman" w:hAnsi="Times New Roman" w:cs="Times New Roman"/>
          <w:color w:val="2E74B5" w:themeColor="accent1" w:themeShade="BF"/>
          <w:sz w:val="32"/>
          <w:szCs w:val="32"/>
        </w:rPr>
        <w:t>) населения.</w:t>
      </w:r>
    </w:p>
    <w:p w:rsidR="004874C5" w:rsidRDefault="004874C5" w:rsidP="004874C5"/>
    <w:p w:rsidR="004874C5" w:rsidRDefault="004874C5" w:rsidP="004874C5"/>
    <w:p w:rsidR="00341339" w:rsidRDefault="00341339"/>
    <w:sectPr w:rsidR="00341339" w:rsidSect="00A90C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222D"/>
    <w:multiLevelType w:val="multilevel"/>
    <w:tmpl w:val="D4FA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7F"/>
    <w:rsid w:val="00265D77"/>
    <w:rsid w:val="00341339"/>
    <w:rsid w:val="004874C5"/>
    <w:rsid w:val="00A90C48"/>
    <w:rsid w:val="00E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D222"/>
  <w15:chartTrackingRefBased/>
  <w15:docId w15:val="{41687AD6-0830-4312-B2BC-FA2B7B4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C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74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8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C5"/>
    <w:rPr>
      <w:color w:val="0000FF"/>
      <w:u w:val="single"/>
    </w:rPr>
  </w:style>
  <w:style w:type="paragraph" w:styleId="a5">
    <w:name w:val="No Spacing"/>
    <w:uiPriority w:val="1"/>
    <w:qFormat/>
    <w:rsid w:val="00487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salym.ru/grazhdanskaya-oborona-i-cherezvychajnaya-situacziya/informacziya-dlya-naseleniya/13485-mesyachnik-grazhdanskoj-oboron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dcterms:created xsi:type="dcterms:W3CDTF">2019-10-03T03:55:00Z</dcterms:created>
  <dcterms:modified xsi:type="dcterms:W3CDTF">2019-10-03T06:18:00Z</dcterms:modified>
</cp:coreProperties>
</file>